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8112" w14:textId="77777777" w:rsidR="001674DB" w:rsidRDefault="008D0288">
      <w:bookmarkStart w:id="0" w:name="_Hlk188465956"/>
      <w:r w:rsidRPr="008D0288">
        <w:t xml:space="preserve">Zur Antwort von Rewe, ASTAC habe die Möglichkeit bekommen, an einem Audit teilzunehmen, ist wichtig zu </w:t>
      </w:r>
      <w:r w:rsidR="001674DB">
        <w:t>betonen</w:t>
      </w:r>
      <w:r w:rsidRPr="008D0288">
        <w:t xml:space="preserve">, dass ASTAC als Voraussetzung hierfür eine umfangreiche Verschwiegenheitsvereinbarung hätte unterzeichnen müssen, deren Inhalt weit über den Datenschutz im Rahmen des Audits hinausgegangen wäre und Äußerungen im Zusammenhang mit dem Fall oder über Rainforest Alliance unter hohe Vertragsstrafen gestellt hätte. </w:t>
      </w:r>
    </w:p>
    <w:p w14:paraId="205F566C" w14:textId="77777777" w:rsidR="007E5DE2" w:rsidRDefault="008D0288">
      <w:r w:rsidRPr="008D0288">
        <w:t>Über einen ersten Austauschtermin hinaus war Rewe trotz mehrfacher Anfragen nicht bereit, mit ASTAC zur Behebung der Probleme zusammenzuarbeiten. Rewes Abbruch der Geschäftsbeziehungen mit Otisgraf nach Entzug des Rainforest Alliance-Zertifikats hat die Möglichkeiten eingeschränkt, positiven Einfluss auf die Situation bei Otisgraf zu nehmen, was nicht im Sinne des/im Einklang mit dem Lieferkettensorgfaltspflichtengesetz ist.</w:t>
      </w:r>
    </w:p>
    <w:bookmarkEnd w:id="0"/>
    <w:p w14:paraId="048340A2" w14:textId="77777777" w:rsidR="008D0288" w:rsidRDefault="008D0288"/>
    <w:sectPr w:rsidR="008D0288">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D0288"/>
    <w:rsid w:val="001674DB"/>
    <w:rsid w:val="002B5761"/>
    <w:rsid w:val="00750C73"/>
    <w:rsid w:val="007E5DE2"/>
    <w:rsid w:val="008D02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A8588"/>
  <w14:defaultImageDpi w14:val="0"/>
  <w15:docId w15:val="{E2DE3903-3C35-4A2C-BCC6-783BF5F0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de-DE"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737</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Vogel</dc:creator>
  <cp:keywords/>
  <dc:description/>
  <cp:lastModifiedBy>Steffen Vogel</cp:lastModifiedBy>
  <cp:revision>2</cp:revision>
  <dcterms:created xsi:type="dcterms:W3CDTF">2025-01-27T16:07:00Z</dcterms:created>
  <dcterms:modified xsi:type="dcterms:W3CDTF">2025-01-27T16:07:00Z</dcterms:modified>
</cp:coreProperties>
</file>